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7E9903AC"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D57CE7">
        <w:rPr>
          <w:rFonts w:ascii="Arial" w:hAnsi="Arial" w:cs="Arial"/>
          <w:b/>
          <w:bCs/>
          <w:sz w:val="28"/>
        </w:rPr>
        <w:t>5</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A3337C">
        <w:rPr>
          <w:rFonts w:ascii="Arial" w:hAnsi="Arial" w:cs="Arial"/>
          <w:b/>
          <w:bCs/>
          <w:sz w:val="28"/>
        </w:rPr>
        <w:tab/>
        <w:t xml:space="preserve"> </w:t>
      </w:r>
      <w:r w:rsidR="00630DA9">
        <w:rPr>
          <w:rFonts w:ascii="Arial" w:hAnsi="Arial" w:cs="Arial"/>
          <w:b/>
          <w:bCs/>
          <w:sz w:val="28"/>
        </w:rPr>
        <w:t xml:space="preserve">    </w:t>
      </w:r>
      <w:r w:rsidR="004D3C43">
        <w:rPr>
          <w:rFonts w:ascii="Arial" w:hAnsi="Arial" w:cs="Arial"/>
          <w:b/>
          <w:bCs/>
          <w:sz w:val="28"/>
        </w:rPr>
        <w:t xml:space="preserve"> </w:t>
      </w:r>
      <w:r w:rsidR="00597411" w:rsidRPr="00597411">
        <w:rPr>
          <w:rFonts w:ascii="Arial" w:hAnsi="Arial" w:cs="Arial"/>
          <w:b/>
          <w:bCs/>
          <w:sz w:val="28"/>
        </w:rPr>
        <w:t>R1-2104449</w:t>
      </w:r>
    </w:p>
    <w:p w14:paraId="6AAC82D6" w14:textId="3BD40477"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597411">
        <w:rPr>
          <w:rFonts w:ascii="Arial" w:hAnsi="Arial" w:cs="Arial"/>
          <w:b/>
          <w:bCs/>
          <w:sz w:val="28"/>
        </w:rPr>
        <w:t>May</w:t>
      </w:r>
      <w:r w:rsidR="00597411" w:rsidRPr="0019304A">
        <w:rPr>
          <w:rFonts w:ascii="Arial" w:hAnsi="Arial" w:cs="Arial"/>
          <w:b/>
          <w:bCs/>
          <w:sz w:val="28"/>
        </w:rPr>
        <w:t xml:space="preserve"> 1</w:t>
      </w:r>
      <w:r w:rsidR="00597411">
        <w:rPr>
          <w:rFonts w:ascii="Arial" w:hAnsi="Arial" w:cs="Arial"/>
          <w:b/>
          <w:bCs/>
          <w:sz w:val="28"/>
        </w:rPr>
        <w:t>0</w:t>
      </w:r>
      <w:r w:rsidR="00597411" w:rsidRPr="0019304A">
        <w:rPr>
          <w:rFonts w:ascii="Arial" w:hAnsi="Arial" w:cs="Arial"/>
          <w:b/>
          <w:bCs/>
          <w:sz w:val="28"/>
          <w:vertAlign w:val="superscript"/>
        </w:rPr>
        <w:t>th</w:t>
      </w:r>
      <w:r w:rsidR="00597411" w:rsidRPr="0019304A">
        <w:rPr>
          <w:rFonts w:ascii="Arial" w:hAnsi="Arial" w:cs="Arial"/>
          <w:b/>
          <w:bCs/>
          <w:sz w:val="28"/>
        </w:rPr>
        <w:t xml:space="preserve"> – </w:t>
      </w:r>
      <w:r w:rsidR="00597411">
        <w:rPr>
          <w:rFonts w:ascii="Arial" w:hAnsi="Arial" w:cs="Arial"/>
          <w:b/>
          <w:bCs/>
          <w:sz w:val="28"/>
        </w:rPr>
        <w:t>May</w:t>
      </w:r>
      <w:r w:rsidR="00597411" w:rsidRPr="0019304A">
        <w:rPr>
          <w:rFonts w:ascii="Arial" w:hAnsi="Arial" w:cs="Arial"/>
          <w:b/>
          <w:bCs/>
          <w:sz w:val="28"/>
        </w:rPr>
        <w:t xml:space="preserve"> 2</w:t>
      </w:r>
      <w:r w:rsidR="00597411">
        <w:rPr>
          <w:rFonts w:ascii="Arial" w:hAnsi="Arial" w:cs="Arial"/>
          <w:b/>
          <w:bCs/>
          <w:sz w:val="28"/>
        </w:rPr>
        <w:t>7</w:t>
      </w:r>
      <w:r w:rsidR="00597411" w:rsidRPr="0019304A">
        <w:rPr>
          <w:rFonts w:ascii="Arial" w:hAnsi="Arial" w:cs="Arial"/>
          <w:b/>
          <w:bCs/>
          <w:sz w:val="28"/>
          <w:vertAlign w:val="superscript"/>
        </w:rPr>
        <w:t>th</w:t>
      </w:r>
      <w:r w:rsidR="006A183C" w:rsidRPr="002171D1">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286A1D29"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CF406B">
        <w:rPr>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54D85D0B"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08312C">
        <w:rPr>
          <w:b/>
        </w:rPr>
        <w:t>t</w:t>
      </w:r>
      <w:r w:rsidR="0008312C" w:rsidRPr="0008312C">
        <w:rPr>
          <w:b/>
        </w:rPr>
        <w:t>iming relationship enhancements</w:t>
      </w:r>
      <w:r w:rsidR="001B61FB" w:rsidRPr="001B61FB">
        <w:rPr>
          <w:b/>
          <w:lang w:val="en-GB"/>
        </w:rPr>
        <w:t xml:space="preserve"> </w:t>
      </w:r>
      <w:r w:rsidR="008B6751" w:rsidRPr="008B675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The first objective of this Study is to identify scenarios applicable to NB-IoT/eMTC [RAN1, RAN2], including:</w:t>
            </w:r>
          </w:p>
          <w:p w14:paraId="48A40653"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Bands of interest in sub 6 GHz</w:t>
            </w:r>
          </w:p>
          <w:p w14:paraId="579385C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 xml:space="preserve">Device type with PC3 or PC5 (LEO and GEO) </w:t>
            </w:r>
          </w:p>
          <w:p w14:paraId="51800526"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 xml:space="preserve">Satellite constellation orbit LEO and GEO </w:t>
            </w:r>
          </w:p>
          <w:p w14:paraId="37526530"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Transparent payload.</w:t>
            </w:r>
          </w:p>
          <w:p w14:paraId="6F00A8D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Link budget</w:t>
            </w:r>
          </w:p>
          <w:p w14:paraId="075B42F7" w14:textId="77777777" w:rsidR="00B3553A" w:rsidRPr="005031AD" w:rsidRDefault="00B3553A" w:rsidP="00092B47">
            <w:pPr>
              <w:keepLines/>
              <w:overflowPunct w:val="0"/>
              <w:snapToGrid/>
              <w:spacing w:after="180"/>
              <w:ind w:left="1135" w:hanging="851"/>
              <w:jc w:val="left"/>
              <w:textAlignment w:val="baseline"/>
              <w:rPr>
                <w:rFonts w:eastAsia="宋体"/>
                <w:szCs w:val="20"/>
                <w:lang w:val="en-GB" w:eastAsia="zh-TW"/>
              </w:rPr>
            </w:pPr>
            <w:r w:rsidRPr="005031AD">
              <w:rPr>
                <w:rFonts w:eastAsia="宋体"/>
                <w:szCs w:val="20"/>
                <w:lang w:val="en-GB" w:eastAsia="zh-TW"/>
              </w:rPr>
              <w:t>NOTE 1: This first objective will be based on the scenarios documented in TR 38.821.</w:t>
            </w:r>
          </w:p>
          <w:p w14:paraId="5324AA03" w14:textId="77777777" w:rsidR="00B3553A" w:rsidRPr="005031AD" w:rsidRDefault="00B3553A" w:rsidP="00092B47">
            <w:pPr>
              <w:keepLines/>
              <w:overflowPunct w:val="0"/>
              <w:snapToGrid/>
              <w:spacing w:after="180"/>
              <w:ind w:left="1135" w:hanging="851"/>
              <w:jc w:val="left"/>
              <w:textAlignment w:val="baseline"/>
              <w:rPr>
                <w:rFonts w:eastAsia="宋体"/>
                <w:szCs w:val="20"/>
                <w:lang w:val="en-GB" w:eastAsia="zh-TW"/>
              </w:rPr>
            </w:pPr>
            <w:r w:rsidRPr="005031AD">
              <w:rPr>
                <w:rFonts w:eastAsia="宋体"/>
                <w:szCs w:val="20"/>
                <w:lang w:val="en-GB" w:eastAsia="zh-TW"/>
              </w:rPr>
              <w:t>NOTE 2: UE mobility assumptions follow terrestrial NB-IoT/eMTC assumptions.</w:t>
            </w:r>
          </w:p>
          <w:p w14:paraId="409B1C57" w14:textId="77777777" w:rsidR="00B3553A" w:rsidRPr="005031AD" w:rsidRDefault="00B3553A" w:rsidP="00092B47">
            <w:pPr>
              <w:overflowPunct w:val="0"/>
              <w:snapToGrid/>
              <w:spacing w:after="180"/>
              <w:jc w:val="left"/>
              <w:textAlignment w:val="baseline"/>
              <w:rPr>
                <w:rFonts w:eastAsia="PMingLiU"/>
                <w:szCs w:val="20"/>
                <w:lang w:val="en-GB" w:eastAsia="zh-TW"/>
              </w:rPr>
            </w:pPr>
          </w:p>
          <w:p w14:paraId="199B1AFC" w14:textId="77777777" w:rsidR="00B3553A" w:rsidRPr="005031AD" w:rsidRDefault="00B3553A" w:rsidP="00092B47">
            <w:pPr>
              <w:overflowPunct w:val="0"/>
              <w:snapToGrid/>
              <w:spacing w:after="180"/>
              <w:jc w:val="left"/>
              <w:textAlignment w:val="baseline"/>
              <w:rPr>
                <w:rFonts w:eastAsia="宋体"/>
                <w:szCs w:val="20"/>
                <w:lang w:val="en-GB" w:eastAsia="zh-TW"/>
              </w:rPr>
            </w:pPr>
            <w:r w:rsidRPr="005031AD">
              <w:rPr>
                <w:rFonts w:eastAsia="宋体"/>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Aspects related to random access procedure/signals [RAN1, RAN2]</w:t>
            </w:r>
          </w:p>
          <w:p w14:paraId="01648A8C"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Mechanisms for time/frequency adjustment including Timing Advance, and UL frequency compensation indication [RAN1, RAN2]</w:t>
            </w:r>
          </w:p>
          <w:p w14:paraId="0923D822"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Timing offset related to scheduling and HARQ-ACK feedback [RAN1, RAN2]</w:t>
            </w:r>
          </w:p>
          <w:p w14:paraId="3F27377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    Aspects related to HARQ operation [RAN2, RAN1]</w:t>
            </w:r>
          </w:p>
          <w:p w14:paraId="5E87AE87"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General aspects related to timers (e.g. SR, DRX, etc.) [RAN2]</w:t>
            </w:r>
          </w:p>
          <w:p w14:paraId="163F4E8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RAN2 aspects related to idle mode and connected mode mobility [RAN2]</w:t>
            </w:r>
          </w:p>
          <w:p w14:paraId="15B56B70" w14:textId="77777777" w:rsidR="00B3553A" w:rsidRPr="005031AD" w:rsidRDefault="00B3553A" w:rsidP="00092B47">
            <w:pPr>
              <w:overflowPunct w:val="0"/>
              <w:snapToGrid/>
              <w:spacing w:after="180"/>
              <w:ind w:left="851"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RLF-based for NB-IoT</w:t>
            </w:r>
          </w:p>
          <w:p w14:paraId="6BE776F6" w14:textId="77777777" w:rsidR="00B3553A" w:rsidRPr="005031AD" w:rsidRDefault="00B3553A" w:rsidP="00092B47">
            <w:pPr>
              <w:overflowPunct w:val="0"/>
              <w:snapToGrid/>
              <w:spacing w:after="180"/>
              <w:ind w:left="851"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Handover-based for eMTC</w:t>
            </w:r>
          </w:p>
          <w:p w14:paraId="29CB9BF4"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t>-</w:t>
            </w:r>
            <w:r w:rsidRPr="005031AD">
              <w:rPr>
                <w:rFonts w:eastAsia="宋体"/>
                <w:szCs w:val="20"/>
                <w:lang w:val="en-GB" w:eastAsia="zh-TW"/>
              </w:rPr>
              <w:tab/>
              <w:t>System information enhancements [RAN2]</w:t>
            </w:r>
          </w:p>
          <w:p w14:paraId="032A985E" w14:textId="77777777" w:rsidR="00B3553A" w:rsidRPr="005031AD" w:rsidRDefault="00B3553A" w:rsidP="00092B47">
            <w:pPr>
              <w:overflowPunct w:val="0"/>
              <w:snapToGrid/>
              <w:spacing w:after="180"/>
              <w:ind w:left="568" w:hanging="284"/>
              <w:jc w:val="left"/>
              <w:textAlignment w:val="baseline"/>
              <w:rPr>
                <w:rFonts w:eastAsia="宋体"/>
                <w:szCs w:val="20"/>
                <w:lang w:val="en-GB" w:eastAsia="zh-TW"/>
              </w:rPr>
            </w:pPr>
            <w:r w:rsidRPr="005031AD">
              <w:rPr>
                <w:rFonts w:eastAsia="宋体"/>
                <w:szCs w:val="20"/>
                <w:lang w:val="en-GB" w:eastAsia="zh-TW"/>
              </w:rPr>
              <w:lastRenderedPageBreak/>
              <w:t>-</w:t>
            </w:r>
            <w:r w:rsidRPr="005031AD">
              <w:rPr>
                <w:rFonts w:eastAsia="宋体"/>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5031AD" w:rsidRDefault="00B3553A" w:rsidP="00092B47">
            <w:pPr>
              <w:keepLines/>
              <w:overflowPunct w:val="0"/>
              <w:snapToGrid/>
              <w:spacing w:after="180"/>
              <w:ind w:left="1135" w:hanging="851"/>
              <w:jc w:val="left"/>
              <w:textAlignment w:val="baseline"/>
              <w:rPr>
                <w:rFonts w:eastAsia="宋体"/>
                <w:sz w:val="21"/>
                <w:szCs w:val="20"/>
                <w:lang w:val="en-GB" w:eastAsia="zh-TW"/>
              </w:rPr>
            </w:pPr>
            <w:r w:rsidRPr="005031AD">
              <w:rPr>
                <w:rFonts w:eastAsia="宋体"/>
                <w:sz w:val="21"/>
                <w:szCs w:val="20"/>
                <w:lang w:val="en-GB" w:eastAsia="zh-TW"/>
              </w:rPr>
              <w:t xml:space="preserve">NOTE 3: </w:t>
            </w:r>
            <w:r w:rsidRPr="005031AD">
              <w:rPr>
                <w:rFonts w:eastAsia="宋体"/>
                <w:sz w:val="21"/>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5031AD">
              <w:rPr>
                <w:rFonts w:eastAsia="宋体"/>
                <w:sz w:val="21"/>
                <w:szCs w:val="20"/>
                <w:lang w:val="en-GB" w:eastAsia="zh-TW"/>
              </w:rPr>
              <w:t>Recommendations for NB-IoT and recommendations for eMTC will be documented in the conclusions.</w:t>
            </w:r>
          </w:p>
        </w:tc>
      </w:tr>
    </w:tbl>
    <w:p w14:paraId="369B77AA" w14:textId="43B1F7CD"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1D38CA" w:rsidRPr="001D38CA">
        <w:rPr>
          <w:rFonts w:eastAsia="宋体"/>
          <w:lang w:eastAsia="x-none"/>
        </w:rPr>
        <w:t>timing relationship enhancements</w:t>
      </w:r>
      <w:r>
        <w:rPr>
          <w:rFonts w:eastAsia="宋体"/>
          <w:lang w:eastAsia="x-none"/>
        </w:rPr>
        <w:t xml:space="preserve"> to NB-IoT/eMTC over NTN</w:t>
      </w:r>
      <w:r w:rsidRPr="00F320C1">
        <w:rPr>
          <w:rFonts w:eastAsia="宋体"/>
          <w:lang w:eastAsia="zh-CN"/>
        </w:rPr>
        <w:t>.</w:t>
      </w:r>
    </w:p>
    <w:p w14:paraId="20395FB4" w14:textId="77777777" w:rsidR="001A141F" w:rsidRDefault="001A141F" w:rsidP="00B3553A">
      <w:pPr>
        <w:rPr>
          <w:b/>
          <w:i/>
          <w:color w:val="000000" w:themeColor="text1"/>
          <w:lang w:eastAsia="zh-CN"/>
        </w:rPr>
      </w:pPr>
    </w:p>
    <w:p w14:paraId="1B3A73C2" w14:textId="33A82EC6" w:rsidR="0069130D" w:rsidRDefault="003E0DFC" w:rsidP="003E0DFC">
      <w:pPr>
        <w:pStyle w:val="1"/>
        <w:rPr>
          <w:lang w:eastAsia="zh-CN"/>
        </w:rPr>
      </w:pPr>
      <w:r>
        <w:rPr>
          <w:lang w:eastAsia="zh-CN"/>
        </w:rPr>
        <w:t xml:space="preserve">PDCCH </w:t>
      </w:r>
      <w:r w:rsidRPr="003E0DFC">
        <w:rPr>
          <w:lang w:eastAsia="zh-CN"/>
        </w:rPr>
        <w:t>monitoring restrictions</w:t>
      </w:r>
    </w:p>
    <w:p w14:paraId="595EA598" w14:textId="233F1023" w:rsidR="003E0DFC" w:rsidRDefault="003E0DFC" w:rsidP="003E0DFC">
      <w:pPr>
        <w:rPr>
          <w:lang w:eastAsia="zh-CN"/>
        </w:rPr>
      </w:pPr>
      <w:r w:rsidRPr="006E45F1">
        <w:rPr>
          <w:lang w:eastAsia="zh-CN"/>
        </w:rPr>
        <w:t xml:space="preserve">In </w:t>
      </w:r>
      <w:r>
        <w:rPr>
          <w:lang w:eastAsia="zh-CN"/>
        </w:rPr>
        <w:t>TS 36.213</w:t>
      </w:r>
      <w:r w:rsidRPr="006E45F1">
        <w:rPr>
          <w:lang w:eastAsia="zh-CN"/>
        </w:rPr>
        <w:t>, there</w:t>
      </w:r>
      <w:r w:rsidR="005D6CE3">
        <w:rPr>
          <w:lang w:eastAsia="zh-CN"/>
        </w:rPr>
        <w:t xml:space="preserve"> </w:t>
      </w:r>
      <w:r w:rsidR="005D6CE3">
        <w:rPr>
          <w:rFonts w:hint="eastAsia"/>
          <w:lang w:eastAsia="zh-CN"/>
        </w:rPr>
        <w:t>are</w:t>
      </w:r>
      <w:r w:rsidR="005D6CE3">
        <w:rPr>
          <w:lang w:eastAsia="zh-CN"/>
        </w:rPr>
        <w:t xml:space="preserve"> </w:t>
      </w:r>
      <w:r w:rsidR="005D6CE3">
        <w:rPr>
          <w:rFonts w:hint="eastAsia"/>
          <w:lang w:eastAsia="zh-CN"/>
        </w:rPr>
        <w:t>some</w:t>
      </w:r>
      <w:r w:rsidRPr="006E45F1">
        <w:rPr>
          <w:lang w:eastAsia="zh-CN"/>
        </w:rPr>
        <w:t xml:space="preserve"> constraint</w:t>
      </w:r>
      <w:r w:rsidR="005D6CE3">
        <w:rPr>
          <w:rFonts w:hint="eastAsia"/>
          <w:lang w:eastAsia="zh-CN"/>
        </w:rPr>
        <w:t>s</w:t>
      </w:r>
      <w:r w:rsidRPr="006E45F1">
        <w:rPr>
          <w:lang w:eastAsia="zh-CN"/>
        </w:rPr>
        <w:t xml:space="preserve"> for </w:t>
      </w:r>
      <w:r w:rsidR="005D6CE3">
        <w:rPr>
          <w:lang w:eastAsia="zh-CN"/>
        </w:rPr>
        <w:t>NB-IOT</w:t>
      </w:r>
      <w:r w:rsidR="005D6CE3" w:rsidRPr="006E45F1">
        <w:rPr>
          <w:lang w:eastAsia="zh-CN"/>
        </w:rPr>
        <w:t xml:space="preserve"> </w:t>
      </w:r>
      <w:r w:rsidRPr="006E45F1">
        <w:rPr>
          <w:lang w:eastAsia="zh-CN"/>
        </w:rPr>
        <w:t xml:space="preserve">UE monitoring NPDCCH </w:t>
      </w:r>
      <w:r>
        <w:rPr>
          <w:lang w:eastAsia="zh-CN"/>
        </w:rPr>
        <w:t>[</w:t>
      </w:r>
      <w:r w:rsidR="004567BD">
        <w:rPr>
          <w:lang w:eastAsia="zh-CN"/>
        </w:rPr>
        <w:t>4</w:t>
      </w:r>
      <w:r>
        <w:rPr>
          <w:lang w:eastAsia="zh-CN"/>
        </w:rPr>
        <w:t>].</w:t>
      </w:r>
    </w:p>
    <w:tbl>
      <w:tblPr>
        <w:tblStyle w:val="aff1"/>
        <w:tblW w:w="0" w:type="auto"/>
        <w:tblLook w:val="04A0" w:firstRow="1" w:lastRow="0" w:firstColumn="1" w:lastColumn="0" w:noHBand="0" w:noVBand="1"/>
      </w:tblPr>
      <w:tblGrid>
        <w:gridCol w:w="9307"/>
      </w:tblGrid>
      <w:tr w:rsidR="003E0DFC" w14:paraId="75A8CECB" w14:textId="77777777" w:rsidTr="00A20676">
        <w:tc>
          <w:tcPr>
            <w:tcW w:w="9307" w:type="dxa"/>
          </w:tcPr>
          <w:p w14:paraId="1F03AFF5" w14:textId="77777777" w:rsidR="003E0DFC" w:rsidRPr="005031AD" w:rsidRDefault="003E0DFC" w:rsidP="00A20676">
            <w:pPr>
              <w:overflowPunct w:val="0"/>
              <w:snapToGrid/>
              <w:spacing w:after="180"/>
              <w:jc w:val="left"/>
              <w:textAlignment w:val="baseline"/>
              <w:rPr>
                <w:rFonts w:eastAsia="Times New Roman"/>
                <w:szCs w:val="20"/>
                <w:lang w:val="en-GB" w:eastAsia="en-GB"/>
              </w:rPr>
            </w:pPr>
            <w:r w:rsidRPr="005031AD">
              <w:rPr>
                <w:rFonts w:eastAsia="Times New Roman"/>
                <w:szCs w:val="20"/>
                <w:lang w:val="en-GB" w:eastAsia="en-GB"/>
              </w:rPr>
              <w:t xml:space="preserve">For a NPDCCH UE-specific search space, if a NB-IoT UE is configured with higher layer parameter </w:t>
            </w:r>
            <w:r w:rsidRPr="005031AD">
              <w:rPr>
                <w:rFonts w:eastAsia="Times New Roman"/>
                <w:i/>
                <w:szCs w:val="20"/>
                <w:lang w:val="en-GB" w:eastAsia="en-GB"/>
              </w:rPr>
              <w:t>twoHARQ-ProcessesConfig</w:t>
            </w:r>
            <w:r w:rsidRPr="005031AD">
              <w:rPr>
                <w:rFonts w:eastAsia="Times New Roman"/>
                <w:szCs w:val="20"/>
                <w:lang w:val="en-GB" w:eastAsia="en-GB"/>
              </w:rPr>
              <w:t xml:space="preserve"> or </w:t>
            </w:r>
            <w:r w:rsidRPr="005031AD">
              <w:rPr>
                <w:rFonts w:eastAsia="等线"/>
                <w:i/>
                <w:szCs w:val="20"/>
                <w:lang w:val="en-GB" w:eastAsia="en-GB"/>
              </w:rPr>
              <w:t>npusch-MultiTB-Config</w:t>
            </w:r>
            <w:r w:rsidRPr="005031AD">
              <w:rPr>
                <w:rFonts w:eastAsia="Times New Roman"/>
                <w:i/>
                <w:szCs w:val="20"/>
                <w:lang w:val="en-GB" w:eastAsia="en-GB"/>
              </w:rPr>
              <w:t xml:space="preserve"> </w:t>
            </w:r>
            <w:r w:rsidRPr="005031AD">
              <w:rPr>
                <w:rFonts w:eastAsia="Times New Roman"/>
                <w:szCs w:val="20"/>
                <w:lang w:val="en-GB" w:eastAsia="en-GB"/>
              </w:rPr>
              <w:t xml:space="preserve">and if the NB-IoT UE detects NPDCCH with DCI Format N0 ending in subframe </w:t>
            </w:r>
            <w:r w:rsidRPr="005031AD">
              <w:rPr>
                <w:rFonts w:eastAsia="Times New Roman"/>
                <w:i/>
                <w:szCs w:val="20"/>
                <w:lang w:val="en-GB" w:eastAsia="en-GB"/>
              </w:rPr>
              <w:t>n</w:t>
            </w:r>
            <w:r w:rsidRPr="005031AD">
              <w:rPr>
                <w:rFonts w:eastAsia="Times New Roman"/>
                <w:szCs w:val="20"/>
                <w:lang w:val="en-GB" w:eastAsia="en-GB"/>
              </w:rPr>
              <w:t xml:space="preserve">, and if the corresponding NPUSCH format 1 transmission starts from </w:t>
            </w:r>
            <w:r w:rsidRPr="005031AD">
              <w:rPr>
                <w:rFonts w:eastAsia="Times New Roman"/>
                <w:i/>
                <w:szCs w:val="20"/>
                <w:lang w:val="en-GB" w:eastAsia="en-GB"/>
              </w:rPr>
              <w:t>n+k,</w:t>
            </w:r>
          </w:p>
          <w:p w14:paraId="6B820785" w14:textId="77777777" w:rsidR="003E0DFC" w:rsidRPr="005031AD" w:rsidRDefault="003E0DFC" w:rsidP="00A20676">
            <w:pPr>
              <w:overflowPunct w:val="0"/>
              <w:snapToGrid/>
              <w:spacing w:after="180"/>
              <w:ind w:left="568" w:hanging="284"/>
              <w:jc w:val="left"/>
              <w:textAlignment w:val="baseline"/>
              <w:rPr>
                <w:rFonts w:eastAsia="Times New Roman"/>
                <w:szCs w:val="20"/>
                <w:lang w:val="en-GB" w:eastAsia="en-GB"/>
              </w:rPr>
            </w:pPr>
            <w:r w:rsidRPr="005031AD">
              <w:rPr>
                <w:rFonts w:eastAsia="Times New Roman"/>
                <w:szCs w:val="20"/>
                <w:lang w:val="en-GB" w:eastAsia="en-GB"/>
              </w:rPr>
              <w:t>-</w:t>
            </w:r>
            <w:r w:rsidRPr="005031AD">
              <w:rPr>
                <w:rFonts w:eastAsia="Times New Roman"/>
                <w:szCs w:val="20"/>
                <w:lang w:val="en-GB" w:eastAsia="en-GB"/>
              </w:rPr>
              <w:tab/>
              <w:t xml:space="preserve">if the corresponding </w:t>
            </w:r>
            <w:r w:rsidRPr="005031AD">
              <w:rPr>
                <w:rFonts w:eastAsia="等线"/>
                <w:szCs w:val="20"/>
                <w:lang w:val="en-GB" w:eastAsia="zh-CN"/>
              </w:rPr>
              <w:t>NPDCCH with DCI format N0 with CRC scrambled by C-RNTI</w:t>
            </w:r>
            <w:r w:rsidRPr="005031AD">
              <w:rPr>
                <w:rFonts w:eastAsia="Times New Roman"/>
                <w:szCs w:val="20"/>
                <w:lang w:val="en-GB" w:eastAsia="en-GB"/>
              </w:rPr>
              <w:t xml:space="preserve"> schedules </w:t>
            </w:r>
            <w:r w:rsidRPr="005031AD">
              <w:rPr>
                <w:rFonts w:eastAsia="等线" w:hint="eastAsia"/>
                <w:szCs w:val="20"/>
                <w:lang w:val="en-GB" w:eastAsia="zh-CN"/>
              </w:rPr>
              <w:t>two transport blocks</w:t>
            </w:r>
            <w:r w:rsidRPr="005031AD">
              <w:rPr>
                <w:rFonts w:eastAsia="Times New Roman"/>
                <w:szCs w:val="20"/>
                <w:lang w:val="en-GB" w:eastAsia="en-GB"/>
              </w:rPr>
              <w:t xml:space="preserve"> as</w:t>
            </w:r>
            <w:r w:rsidRPr="005031AD">
              <w:rPr>
                <w:rFonts w:eastAsia="宋体" w:hint="eastAsia"/>
                <w:szCs w:val="20"/>
                <w:lang w:val="en-GB" w:eastAsia="zh-CN"/>
              </w:rPr>
              <w:t xml:space="preserve"> determined by the </w:t>
            </w:r>
            <w:r w:rsidRPr="005031AD">
              <w:rPr>
                <w:rFonts w:eastAsia="Times New Roman" w:hint="eastAsia"/>
                <w:szCs w:val="20"/>
                <w:lang w:val="en-GB" w:eastAsia="zh-CN"/>
              </w:rPr>
              <w:t>Number of scheduled TB for Unicast</w:t>
            </w:r>
            <w:r w:rsidRPr="005031AD">
              <w:rPr>
                <w:rFonts w:eastAsia="宋体" w:hint="eastAsia"/>
                <w:szCs w:val="20"/>
                <w:lang w:val="en-GB" w:eastAsia="zh-CN"/>
              </w:rPr>
              <w:t xml:space="preserve"> </w:t>
            </w:r>
            <w:r w:rsidRPr="005031AD">
              <w:rPr>
                <w:rFonts w:eastAsia="宋体"/>
                <w:szCs w:val="20"/>
                <w:lang w:val="en-GB" w:eastAsia="zh-CN"/>
              </w:rPr>
              <w:t xml:space="preserve">field if present, </w:t>
            </w:r>
            <w:r w:rsidRPr="005031AD">
              <w:rPr>
                <w:rFonts w:eastAsia="Times New Roman"/>
                <w:szCs w:val="20"/>
                <w:lang w:val="en-GB" w:eastAsia="en-GB"/>
              </w:rPr>
              <w:t xml:space="preserve">the UE is not required to monitor an NPDCCH candidate in any subframe starting from subframe </w:t>
            </w:r>
            <w:r w:rsidRPr="005031AD">
              <w:rPr>
                <w:rFonts w:eastAsia="Times New Roman"/>
                <w:i/>
                <w:szCs w:val="20"/>
                <w:lang w:val="en-GB" w:eastAsia="en-GB"/>
              </w:rPr>
              <w:t>n+1</w:t>
            </w:r>
            <w:r w:rsidRPr="005031AD">
              <w:rPr>
                <w:rFonts w:eastAsia="Times New Roman"/>
                <w:szCs w:val="20"/>
                <w:lang w:val="en-GB" w:eastAsia="en-GB"/>
              </w:rPr>
              <w:t xml:space="preserve"> to subframe </w:t>
            </w:r>
            <w:r w:rsidRPr="005031AD">
              <w:rPr>
                <w:rFonts w:eastAsia="Times New Roman"/>
                <w:i/>
                <w:szCs w:val="20"/>
                <w:lang w:val="en-GB" w:eastAsia="en-GB"/>
              </w:rPr>
              <w:t>n+k-1</w:t>
            </w:r>
            <w:r w:rsidRPr="005031AD">
              <w:rPr>
                <w:rFonts w:ascii="等线" w:eastAsia="等线" w:hAnsi="等线" w:hint="eastAsia"/>
                <w:i/>
                <w:szCs w:val="20"/>
                <w:lang w:val="en-GB" w:eastAsia="zh-CN"/>
              </w:rPr>
              <w:t>,</w:t>
            </w:r>
            <w:r w:rsidRPr="005031AD">
              <w:rPr>
                <w:rFonts w:ascii="等线" w:eastAsia="等线" w:hAnsi="等线"/>
                <w:i/>
                <w:szCs w:val="20"/>
                <w:lang w:val="en-GB" w:eastAsia="zh-CN"/>
              </w:rPr>
              <w:t xml:space="preserve"> </w:t>
            </w:r>
            <w:r w:rsidRPr="005031AD">
              <w:rPr>
                <w:rFonts w:eastAsia="等线"/>
                <w:szCs w:val="20"/>
                <w:lang w:val="en-GB" w:eastAsia="zh-CN"/>
              </w:rPr>
              <w:t xml:space="preserve">otherwise </w:t>
            </w:r>
            <w:r w:rsidRPr="005031AD">
              <w:rPr>
                <w:rFonts w:eastAsia="Times New Roman"/>
                <w:szCs w:val="20"/>
                <w:lang w:val="en-GB" w:eastAsia="en-GB"/>
              </w:rPr>
              <w:t xml:space="preserve">the UE is not required to monitor an NPDCCH candidate in any subframe starting from subframe </w:t>
            </w:r>
            <w:r w:rsidRPr="005031AD">
              <w:rPr>
                <w:rFonts w:eastAsia="Times New Roman"/>
                <w:i/>
                <w:szCs w:val="20"/>
                <w:lang w:val="en-GB" w:eastAsia="en-GB"/>
              </w:rPr>
              <w:t>n+k-2</w:t>
            </w:r>
            <w:r w:rsidRPr="005031AD">
              <w:rPr>
                <w:rFonts w:eastAsia="Times New Roman"/>
                <w:szCs w:val="20"/>
                <w:lang w:val="en-GB" w:eastAsia="en-GB"/>
              </w:rPr>
              <w:t xml:space="preserve"> to subframe </w:t>
            </w:r>
            <w:r w:rsidRPr="005031AD">
              <w:rPr>
                <w:rFonts w:eastAsia="Times New Roman"/>
                <w:i/>
                <w:szCs w:val="20"/>
                <w:lang w:val="en-GB" w:eastAsia="en-GB"/>
              </w:rPr>
              <w:t>n+k-1</w:t>
            </w:r>
            <w:r w:rsidRPr="005031AD">
              <w:rPr>
                <w:rFonts w:eastAsia="Times New Roman"/>
                <w:szCs w:val="20"/>
                <w:lang w:val="en-GB" w:eastAsia="en-GB"/>
              </w:rPr>
              <w:t>; and</w:t>
            </w:r>
          </w:p>
          <w:p w14:paraId="76675806" w14:textId="77777777" w:rsidR="003E0DFC" w:rsidRPr="006E45F1" w:rsidRDefault="003E0DFC" w:rsidP="00A20676">
            <w:pPr>
              <w:overflowPunct w:val="0"/>
              <w:snapToGrid/>
              <w:spacing w:after="180"/>
              <w:ind w:left="568" w:hanging="284"/>
              <w:jc w:val="left"/>
              <w:textAlignment w:val="baseline"/>
              <w:rPr>
                <w:rFonts w:eastAsia="Times New Roman"/>
                <w:b/>
                <w:sz w:val="20"/>
                <w:szCs w:val="20"/>
                <w:lang w:val="en-GB" w:eastAsia="en-GB"/>
              </w:rPr>
            </w:pPr>
            <w:r w:rsidRPr="005031AD">
              <w:rPr>
                <w:rFonts w:eastAsia="Times New Roman"/>
                <w:b/>
                <w:szCs w:val="20"/>
                <w:lang w:val="en-GB" w:eastAsia="en-GB"/>
              </w:rPr>
              <w:t>……</w:t>
            </w:r>
          </w:p>
        </w:tc>
      </w:tr>
    </w:tbl>
    <w:p w14:paraId="65C25137" w14:textId="7B84221A" w:rsidR="00E9375E" w:rsidRDefault="00AE05DC" w:rsidP="00E9375E">
      <w:pPr>
        <w:rPr>
          <w:lang w:eastAsia="zh-CN"/>
        </w:rPr>
      </w:pPr>
      <w:r w:rsidRPr="00AE05DC">
        <w:rPr>
          <w:lang w:eastAsia="zh-CN"/>
        </w:rPr>
        <w:t xml:space="preserve">In NTN scenarios, the differential TA in one cell or one beam is large, which can be up to 10.3ms. The large TA and differential TA may lead to collisions of simultaneous UL and DL transmissions for a half-duplex UE. </w:t>
      </w:r>
      <w:bookmarkStart w:id="1" w:name="_GoBack"/>
      <w:bookmarkEnd w:id="1"/>
      <w:r w:rsidR="00E9375E" w:rsidRPr="00E9375E">
        <w:rPr>
          <w:lang w:eastAsia="zh-CN"/>
        </w:rPr>
        <w:t>In RAN 104</w:t>
      </w:r>
      <w:r w:rsidR="005E2AEB">
        <w:rPr>
          <w:lang w:eastAsia="zh-CN"/>
        </w:rPr>
        <w:t>b_e</w:t>
      </w:r>
      <w:r w:rsidR="00E9375E" w:rsidRPr="00E9375E">
        <w:rPr>
          <w:lang w:eastAsia="zh-CN"/>
        </w:rPr>
        <w:t xml:space="preserve"> meeting, the following agreement on</w:t>
      </w:r>
      <w:r w:rsidR="00E9375E" w:rsidRPr="00E9375E">
        <w:t xml:space="preserve"> </w:t>
      </w:r>
      <w:r w:rsidR="00E9375E" w:rsidRPr="00E9375E">
        <w:rPr>
          <w:lang w:eastAsia="zh-CN"/>
        </w:rPr>
        <w:t>the impact of large RTD on HD-FDD UL-DL timing relationships have been achieved in IOT NTN [</w:t>
      </w:r>
      <w:r w:rsidR="004567BD">
        <w:rPr>
          <w:lang w:eastAsia="zh-CN"/>
        </w:rPr>
        <w:t>2</w:t>
      </w:r>
      <w:r w:rsidR="00E9375E" w:rsidRPr="00E9375E">
        <w:rPr>
          <w:lang w:eastAsia="zh-CN"/>
        </w:rPr>
        <w:t>].</w:t>
      </w:r>
    </w:p>
    <w:tbl>
      <w:tblPr>
        <w:tblStyle w:val="aff1"/>
        <w:tblW w:w="0" w:type="auto"/>
        <w:tblLook w:val="04A0" w:firstRow="1" w:lastRow="0" w:firstColumn="1" w:lastColumn="0" w:noHBand="0" w:noVBand="1"/>
      </w:tblPr>
      <w:tblGrid>
        <w:gridCol w:w="9307"/>
      </w:tblGrid>
      <w:tr w:rsidR="00E9375E" w14:paraId="15BDFC59" w14:textId="77777777" w:rsidTr="00E9375E">
        <w:tc>
          <w:tcPr>
            <w:tcW w:w="9307" w:type="dxa"/>
          </w:tcPr>
          <w:p w14:paraId="33AB18B0" w14:textId="77777777" w:rsidR="005E2AEB" w:rsidRPr="005E2AEB" w:rsidRDefault="005E2AEB" w:rsidP="005E2AEB">
            <w:pPr>
              <w:autoSpaceDE/>
              <w:autoSpaceDN/>
              <w:adjustRightInd/>
              <w:snapToGrid/>
              <w:spacing w:after="0"/>
              <w:jc w:val="left"/>
              <w:rPr>
                <w:rFonts w:ascii="Times" w:eastAsia="Batang" w:hAnsi="Times"/>
                <w:szCs w:val="24"/>
                <w:lang w:val="en-GB" w:eastAsia="x-none"/>
              </w:rPr>
            </w:pPr>
            <w:r w:rsidRPr="005E2AEB">
              <w:rPr>
                <w:rFonts w:ascii="Times" w:eastAsia="Batang" w:hAnsi="Times"/>
                <w:szCs w:val="24"/>
                <w:highlight w:val="green"/>
                <w:lang w:val="en-GB" w:eastAsia="x-none"/>
              </w:rPr>
              <w:t>Agreement:</w:t>
            </w:r>
          </w:p>
          <w:p w14:paraId="45DEEDE1" w14:textId="77777777" w:rsidR="005E2AEB" w:rsidRPr="005E2AEB" w:rsidRDefault="005E2AEB" w:rsidP="005E2AEB">
            <w:pPr>
              <w:autoSpaceDE/>
              <w:autoSpaceDN/>
              <w:adjustRightInd/>
              <w:snapToGrid/>
              <w:spacing w:after="0"/>
              <w:jc w:val="left"/>
              <w:rPr>
                <w:rFonts w:ascii="Times" w:eastAsia="Batang" w:hAnsi="Times"/>
                <w:szCs w:val="24"/>
                <w:lang w:val="en-GB" w:eastAsia="x-none"/>
              </w:rPr>
            </w:pPr>
            <w:r w:rsidRPr="005E2AEB">
              <w:rPr>
                <w:rFonts w:ascii="Times" w:eastAsia="Batang" w:hAnsi="Times"/>
                <w:szCs w:val="24"/>
                <w:lang w:val="en-GB" w:eastAsia="x-none"/>
              </w:rPr>
              <w:t>Capture the following in the TR:</w:t>
            </w:r>
          </w:p>
          <w:p w14:paraId="6B82D8A4" w14:textId="2A8BCACF" w:rsidR="00E9375E" w:rsidRPr="005E2AEB" w:rsidRDefault="005E2AEB" w:rsidP="00E9375E">
            <w:pPr>
              <w:autoSpaceDE/>
              <w:autoSpaceDN/>
              <w:adjustRightInd/>
              <w:snapToGrid/>
              <w:spacing w:after="0"/>
              <w:jc w:val="left"/>
              <w:rPr>
                <w:rFonts w:ascii="Times" w:eastAsia="Batang" w:hAnsi="Times"/>
                <w:sz w:val="20"/>
                <w:szCs w:val="24"/>
                <w:lang w:val="en-GB" w:eastAsia="x-none"/>
              </w:rPr>
            </w:pPr>
            <w:r w:rsidRPr="005E2AEB">
              <w:rPr>
                <w:rFonts w:ascii="Times" w:eastAsia="Batang" w:hAnsi="Times"/>
                <w:szCs w:val="24"/>
                <w:lang w:val="en-GB" w:eastAsia="x-none"/>
              </w:rPr>
              <w:t>The UE-specific TA and/or K_offset can be used by the eNB in its scheduling to avoid UL-DL collisions in FDD-HD.</w:t>
            </w:r>
          </w:p>
        </w:tc>
      </w:tr>
    </w:tbl>
    <w:p w14:paraId="107535B1" w14:textId="0B29D274" w:rsidR="003E0DFC" w:rsidRDefault="003E0DFC" w:rsidP="00E9375E">
      <w:pPr>
        <w:rPr>
          <w:lang w:eastAsia="zh-CN"/>
        </w:rPr>
      </w:pPr>
      <w:r w:rsidRPr="003E0DFC">
        <w:rPr>
          <w:lang w:eastAsia="zh-CN"/>
        </w:rPr>
        <w:t>In order to</w:t>
      </w:r>
      <w:r>
        <w:rPr>
          <w:lang w:eastAsia="zh-CN"/>
        </w:rPr>
        <w:t xml:space="preserve"> </w:t>
      </w:r>
      <w:r w:rsidRPr="003E0DFC">
        <w:rPr>
          <w:lang w:eastAsia="zh-CN"/>
        </w:rPr>
        <w:t>avoiding the potential collis</w:t>
      </w:r>
      <w:r>
        <w:rPr>
          <w:lang w:eastAsia="zh-CN"/>
        </w:rPr>
        <w:t>ion between the UL transmission</w:t>
      </w:r>
      <w:r w:rsidRPr="003E0DFC">
        <w:rPr>
          <w:lang w:eastAsia="zh-CN"/>
        </w:rPr>
        <w:t xml:space="preserve"> and DL receiving (e.g. receiving NPDCCH)</w:t>
      </w:r>
      <w:r>
        <w:rPr>
          <w:lang w:eastAsia="zh-CN"/>
        </w:rPr>
        <w:t xml:space="preserve">, the current </w:t>
      </w:r>
      <w:r w:rsidRPr="003E0DFC">
        <w:rPr>
          <w:lang w:eastAsia="zh-CN"/>
        </w:rPr>
        <w:t>constraint for UE monitoring NPDCCH</w:t>
      </w:r>
      <w:r>
        <w:rPr>
          <w:lang w:eastAsia="zh-CN"/>
        </w:rPr>
        <w:t xml:space="preserve"> need to be enhance</w:t>
      </w:r>
      <w:r w:rsidR="004B0F06">
        <w:rPr>
          <w:lang w:eastAsia="zh-CN"/>
        </w:rPr>
        <w:t>d</w:t>
      </w:r>
      <w:r>
        <w:rPr>
          <w:lang w:eastAsia="zh-CN"/>
        </w:rPr>
        <w:t xml:space="preserve">. </w:t>
      </w:r>
    </w:p>
    <w:p w14:paraId="378EA7DE" w14:textId="30269FFA" w:rsidR="004B0F06" w:rsidRDefault="004B0F06" w:rsidP="00E9375E">
      <w:pPr>
        <w:rPr>
          <w:b/>
          <w:i/>
          <w:lang w:eastAsia="zh-CN"/>
        </w:rPr>
      </w:pPr>
      <w:r w:rsidRPr="004B0F06">
        <w:rPr>
          <w:b/>
          <w:i/>
          <w:lang w:eastAsia="zh-CN"/>
        </w:rPr>
        <w:t xml:space="preserve">Proposal </w:t>
      </w:r>
      <w:r w:rsidR="00C14BDF">
        <w:rPr>
          <w:b/>
          <w:i/>
          <w:lang w:eastAsia="zh-CN"/>
        </w:rPr>
        <w:t>1</w:t>
      </w:r>
      <w:r w:rsidRPr="004B0F06">
        <w:rPr>
          <w:b/>
          <w:i/>
          <w:lang w:eastAsia="zh-CN"/>
        </w:rPr>
        <w:t xml:space="preserve">: </w:t>
      </w:r>
      <w:r w:rsidR="00F56D96" w:rsidRPr="00F56D96">
        <w:rPr>
          <w:b/>
          <w:i/>
          <w:lang w:eastAsia="zh-CN"/>
        </w:rPr>
        <w:t>PDCCH monitoring restrictions need to be enhanced</w:t>
      </w:r>
      <w:r w:rsidRPr="004B0F06">
        <w:rPr>
          <w:b/>
          <w:i/>
          <w:lang w:eastAsia="zh-CN"/>
        </w:rPr>
        <w:t xml:space="preserve">. </w:t>
      </w:r>
    </w:p>
    <w:p w14:paraId="0101A8E8" w14:textId="77777777" w:rsidR="005D6CE3" w:rsidRPr="004B0F06" w:rsidRDefault="005D6CE3" w:rsidP="00E9375E">
      <w:pPr>
        <w:rPr>
          <w:b/>
          <w:i/>
          <w:lang w:eastAsia="zh-CN"/>
        </w:rPr>
      </w:pPr>
    </w:p>
    <w:p w14:paraId="1F845882" w14:textId="3D16AC78" w:rsidR="003E0DFC" w:rsidRDefault="00F159D4" w:rsidP="00F159D4">
      <w:pPr>
        <w:pStyle w:val="1"/>
        <w:rPr>
          <w:lang w:eastAsia="zh-CN"/>
        </w:rPr>
      </w:pPr>
      <w:r>
        <w:rPr>
          <w:lang w:eastAsia="zh-CN"/>
        </w:rPr>
        <w:t>T</w:t>
      </w:r>
      <w:r>
        <w:rPr>
          <w:rFonts w:hint="eastAsia"/>
          <w:lang w:eastAsia="zh-CN"/>
        </w:rPr>
        <w:t>ransmission</w:t>
      </w:r>
      <w:r>
        <w:rPr>
          <w:lang w:eastAsia="zh-CN"/>
        </w:rPr>
        <w:t xml:space="preserve"> G</w:t>
      </w:r>
      <w:r>
        <w:rPr>
          <w:rFonts w:hint="eastAsia"/>
          <w:lang w:eastAsia="zh-CN"/>
        </w:rPr>
        <w:t>ap</w:t>
      </w:r>
      <w:r>
        <w:rPr>
          <w:lang w:eastAsia="zh-CN"/>
        </w:rPr>
        <w:t xml:space="preserve"> </w:t>
      </w:r>
      <w:r>
        <w:rPr>
          <w:rFonts w:hint="eastAsia"/>
          <w:lang w:eastAsia="zh-CN"/>
        </w:rPr>
        <w:t>in</w:t>
      </w:r>
      <w:r>
        <w:rPr>
          <w:lang w:eastAsia="zh-CN"/>
        </w:rPr>
        <w:t xml:space="preserve"> IOT NTN</w:t>
      </w:r>
    </w:p>
    <w:p w14:paraId="66BCF8C9" w14:textId="77777777" w:rsidR="00F159D4" w:rsidRDefault="00F159D4" w:rsidP="00F159D4">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Pr="00B50986">
        <w:rPr>
          <w:lang w:val="en-GB" w:eastAsia="zh-CN"/>
        </w:rPr>
        <w:t>In the existing specifications</w:t>
      </w:r>
      <w:r>
        <w:rPr>
          <w:rFonts w:hint="eastAsia"/>
          <w:lang w:val="en-GB" w:eastAsia="zh-CN"/>
        </w:rPr>
        <w:t>,</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transmission</w:t>
      </w:r>
      <w:r>
        <w:rPr>
          <w:lang w:val="en-GB" w:eastAsia="zh-CN"/>
        </w:rPr>
        <w:t xml:space="preserve"> </w:t>
      </w:r>
      <w:r>
        <w:rPr>
          <w:rFonts w:hint="eastAsia"/>
          <w:lang w:val="en-GB" w:eastAsia="zh-CN"/>
        </w:rPr>
        <w:t>gap</w:t>
      </w:r>
      <w:r>
        <w:rPr>
          <w:lang w:val="en-GB" w:eastAsia="zh-CN"/>
        </w:rPr>
        <w:t xml:space="preserve"> of 40ms</w:t>
      </w:r>
      <w:r w:rsidRPr="008E51CF">
        <w:rPr>
          <w:lang w:val="en-GB" w:eastAsia="zh-CN"/>
        </w:rPr>
        <w:t xml:space="preserve"> is inserted after a period of continuous PRACH and/or PUSCH transmission</w:t>
      </w:r>
      <w:r>
        <w:rPr>
          <w:lang w:val="en-GB" w:eastAsia="zh-CN"/>
        </w:rPr>
        <w:t>.</w:t>
      </w:r>
    </w:p>
    <w:p w14:paraId="7AA1356C" w14:textId="77777777" w:rsidR="00F159D4" w:rsidRPr="00882C02" w:rsidRDefault="00F159D4" w:rsidP="00F159D4">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F159D4" w14:paraId="1E1B1067" w14:textId="77777777" w:rsidTr="00687C59">
        <w:tc>
          <w:tcPr>
            <w:tcW w:w="9307" w:type="dxa"/>
          </w:tcPr>
          <w:p w14:paraId="158B5A7C" w14:textId="77777777" w:rsidR="00F159D4" w:rsidRPr="00882C02" w:rsidRDefault="00F159D4" w:rsidP="00687C59">
            <w:pPr>
              <w:autoSpaceDE/>
              <w:autoSpaceDN/>
              <w:adjustRightInd/>
              <w:snapToGrid/>
              <w:spacing w:after="180"/>
              <w:jc w:val="left"/>
              <w:rPr>
                <w:rFonts w:eastAsia="等线"/>
                <w:sz w:val="20"/>
                <w:szCs w:val="20"/>
                <w:lang w:val="en-GB"/>
              </w:rPr>
            </w:pPr>
            <w:r w:rsidRPr="005031AD">
              <w:rPr>
                <w:rFonts w:eastAsia="等线"/>
                <w:szCs w:val="20"/>
                <w:lang w:val="en-GB"/>
              </w:rPr>
              <w:t xml:space="preserve">After transmissions </w:t>
            </w:r>
            <w:r w:rsidRPr="005031AD">
              <w:rPr>
                <w:rFonts w:eastAsia="等线"/>
                <w:szCs w:val="20"/>
                <w:lang w:val="en-GB" w:eastAsia="zh-CN"/>
              </w:rPr>
              <w:t xml:space="preserve">and/or postponements due to NPRACH </w:t>
            </w:r>
            <w:r w:rsidRPr="005031AD">
              <w:rPr>
                <w:rFonts w:eastAsia="等线"/>
                <w:szCs w:val="20"/>
                <w:lang w:val="en-GB"/>
              </w:rPr>
              <w:t xml:space="preserve">of </w:t>
            </w:r>
            <w:r w:rsidRPr="005031AD">
              <w:rPr>
                <w:rFonts w:eastAsia="等线"/>
                <w:position w:val="-10"/>
                <w:szCs w:val="20"/>
                <w:lang w:val="en-GB"/>
              </w:rPr>
              <w:object w:dxaOrig="1140" w:dyaOrig="300" w14:anchorId="35514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5.05pt" o:ole="">
                  <v:imagedata r:id="rId9" o:title=""/>
                </v:shape>
                <o:OLEObject Type="Embed" ProgID="Equation.3" ShapeID="_x0000_i1025" DrawAspect="Content" ObjectID="_1682263789" r:id="rId10"/>
              </w:object>
            </w:r>
            <w:r w:rsidRPr="005031AD">
              <w:rPr>
                <w:rFonts w:eastAsia="等线"/>
                <w:szCs w:val="20"/>
                <w:lang w:val="en-GB"/>
              </w:rPr>
              <w:t xml:space="preserve"> time units, for frame structure type 1, a gap of </w:t>
            </w:r>
            <w:r w:rsidRPr="005031AD">
              <w:rPr>
                <w:rFonts w:eastAsia="等线"/>
                <w:position w:val="-10"/>
                <w:szCs w:val="20"/>
                <w:lang w:val="en-GB"/>
              </w:rPr>
              <w:object w:dxaOrig="1040" w:dyaOrig="300" w14:anchorId="09D5CB99">
                <v:shape id="_x0000_i1026" type="#_x0000_t75" style="width:51.05pt;height:15.05pt" o:ole="">
                  <v:imagedata r:id="rId11" o:title=""/>
                </v:shape>
                <o:OLEObject Type="Embed" ProgID="Equation.3" ShapeID="_x0000_i1026" DrawAspect="Content" ObjectID="_1682263790" r:id="rId12"/>
              </w:object>
            </w:r>
            <w:r w:rsidRPr="005031AD">
              <w:rPr>
                <w:rFonts w:eastAsia="等线"/>
                <w:szCs w:val="20"/>
                <w:lang w:val="en-GB"/>
              </w:rPr>
              <w:t xml:space="preserve"> time units</w:t>
            </w:r>
            <w:r w:rsidRPr="005031AD" w:rsidDel="00B746D2">
              <w:rPr>
                <w:rFonts w:eastAsia="等线"/>
                <w:szCs w:val="20"/>
                <w:lang w:val="en-GB"/>
              </w:rPr>
              <w:t xml:space="preserve"> </w:t>
            </w:r>
            <w:r w:rsidRPr="005031AD">
              <w:rPr>
                <w:rFonts w:eastAsia="等线"/>
                <w:szCs w:val="20"/>
                <w:lang w:val="en-GB"/>
              </w:rPr>
              <w:t>shall be inserted where the NPUSCH transmission is postponed. The portion of a</w:t>
            </w:r>
            <w:r w:rsidRPr="005031AD">
              <w:rPr>
                <w:rFonts w:eastAsia="等线"/>
                <w:szCs w:val="20"/>
                <w:lang w:val="en-GB" w:eastAsia="zh-CN"/>
              </w:rPr>
              <w:t xml:space="preserve"> postponement due to NPRACH which coincides with a gap is counted as </w:t>
            </w:r>
            <w:r w:rsidRPr="005031AD">
              <w:rPr>
                <w:rFonts w:eastAsia="等线"/>
                <w:szCs w:val="20"/>
                <w:lang w:val="en-GB" w:eastAsia="zh-CN"/>
              </w:rPr>
              <w:lastRenderedPageBreak/>
              <w:t>part of the gap.</w:t>
            </w:r>
          </w:p>
        </w:tc>
      </w:tr>
    </w:tbl>
    <w:p w14:paraId="0F511297" w14:textId="6684FE36" w:rsidR="00F159D4" w:rsidRPr="00882C02" w:rsidRDefault="00F159D4" w:rsidP="004804F6">
      <w:pPr>
        <w:tabs>
          <w:tab w:val="left" w:pos="6270"/>
        </w:tabs>
        <w:rPr>
          <w:lang w:val="en-GB" w:eastAsia="zh-CN"/>
        </w:rPr>
      </w:pPr>
      <w:r w:rsidRPr="00882C02">
        <w:rPr>
          <w:rFonts w:hint="eastAsia"/>
          <w:lang w:val="en-GB" w:eastAsia="zh-CN"/>
        </w:rPr>
        <w:lastRenderedPageBreak/>
        <w:t>For</w:t>
      </w:r>
      <w:r w:rsidRPr="00882C02">
        <w:rPr>
          <w:lang w:val="en-GB" w:eastAsia="zh-CN"/>
        </w:rPr>
        <w:t xml:space="preserve"> PRACH transmission </w:t>
      </w:r>
      <w:r>
        <w:rPr>
          <w:lang w:val="en-GB" w:eastAsia="zh-CN"/>
        </w:rPr>
        <w:t>[</w:t>
      </w:r>
      <w:r w:rsidRPr="00BD23C8">
        <w:rPr>
          <w:lang w:val="en-GB" w:eastAsia="zh-CN"/>
        </w:rPr>
        <w:t>36.211</w:t>
      </w:r>
      <w:r>
        <w:rPr>
          <w:lang w:val="en-GB" w:eastAsia="zh-CN"/>
        </w:rPr>
        <w:t>]</w:t>
      </w:r>
      <w:r w:rsidRPr="00882C02">
        <w:rPr>
          <w:lang w:val="en-GB" w:eastAsia="zh-CN"/>
        </w:rPr>
        <w:t>:</w:t>
      </w:r>
      <w:r w:rsidR="004804F6">
        <w:rPr>
          <w:lang w:val="en-GB" w:eastAsia="zh-CN"/>
        </w:rPr>
        <w:tab/>
      </w:r>
    </w:p>
    <w:tbl>
      <w:tblPr>
        <w:tblStyle w:val="aff1"/>
        <w:tblW w:w="0" w:type="auto"/>
        <w:tblLook w:val="04A0" w:firstRow="1" w:lastRow="0" w:firstColumn="1" w:lastColumn="0" w:noHBand="0" w:noVBand="1"/>
      </w:tblPr>
      <w:tblGrid>
        <w:gridCol w:w="9307"/>
      </w:tblGrid>
      <w:tr w:rsidR="00F159D4" w14:paraId="07EA4B6E" w14:textId="77777777" w:rsidTr="00687C59">
        <w:tc>
          <w:tcPr>
            <w:tcW w:w="9307" w:type="dxa"/>
          </w:tcPr>
          <w:p w14:paraId="3442F629" w14:textId="77777777" w:rsidR="00F159D4" w:rsidRPr="00882C02" w:rsidRDefault="00F159D4" w:rsidP="00687C59">
            <w:pPr>
              <w:autoSpaceDE/>
              <w:autoSpaceDN/>
              <w:adjustRightInd/>
              <w:snapToGrid/>
              <w:spacing w:after="180"/>
              <w:jc w:val="left"/>
              <w:rPr>
                <w:rFonts w:eastAsia="等线"/>
                <w:sz w:val="20"/>
                <w:szCs w:val="20"/>
                <w:lang w:val="en-GB"/>
              </w:rPr>
            </w:pPr>
            <w:r w:rsidRPr="005031AD">
              <w:rPr>
                <w:rFonts w:eastAsia="等线"/>
                <w:szCs w:val="20"/>
                <w:lang w:val="en-GB"/>
              </w:rPr>
              <w:t xml:space="preserve">NPRACH transmission can start only </w:t>
            </w:r>
            <w:r w:rsidRPr="005031AD">
              <w:rPr>
                <w:rFonts w:eastAsia="等线"/>
                <w:position w:val="-10"/>
                <w:szCs w:val="20"/>
                <w:lang w:val="en-GB"/>
              </w:rPr>
              <w:object w:dxaOrig="1600" w:dyaOrig="340" w14:anchorId="69F0606E">
                <v:shape id="_x0000_i1027" type="#_x0000_t75" style="width:80.05pt;height:18.8pt" o:ole="">
                  <v:imagedata r:id="rId13" o:title=""/>
                </v:shape>
                <o:OLEObject Type="Embed" ProgID="Equation.3" ShapeID="_x0000_i1027" DrawAspect="Content" ObjectID="_1682263791" r:id="rId14"/>
              </w:object>
            </w:r>
            <w:r w:rsidRPr="005031AD">
              <w:rPr>
                <w:rFonts w:eastAsia="等线"/>
                <w:szCs w:val="20"/>
                <w:lang w:val="en-GB"/>
              </w:rPr>
              <w:t xml:space="preserve"> time units after the start of a radio frame fulfilling </w:t>
            </w:r>
            <w:r w:rsidRPr="005031AD">
              <w:rPr>
                <w:rFonts w:eastAsia="等线"/>
                <w:position w:val="-14"/>
                <w:szCs w:val="20"/>
                <w:lang w:val="en-GB"/>
              </w:rPr>
              <w:object w:dxaOrig="2120" w:dyaOrig="380" w14:anchorId="45B05079">
                <v:shape id="_x0000_i1028" type="#_x0000_t75" style="width:105.3pt;height:17.2pt" o:ole="">
                  <v:imagedata r:id="rId15" o:title=""/>
                </v:shape>
                <o:OLEObject Type="Embed" ProgID="Equation.3" ShapeID="_x0000_i1028" DrawAspect="Content" ObjectID="_1682263792" r:id="rId16"/>
              </w:object>
            </w:r>
            <w:r w:rsidRPr="005031AD">
              <w:rPr>
                <w:rFonts w:eastAsia="等线"/>
                <w:szCs w:val="20"/>
                <w:lang w:val="en-GB"/>
              </w:rPr>
              <w:t xml:space="preserve">. For frame structure type 1, after transmissions of </w:t>
            </w:r>
            <w:r w:rsidRPr="005031AD">
              <w:rPr>
                <w:rFonts w:eastAsia="等线"/>
                <w:position w:val="-12"/>
                <w:szCs w:val="20"/>
                <w:lang w:val="en-GB"/>
              </w:rPr>
              <w:object w:dxaOrig="1420" w:dyaOrig="320" w14:anchorId="180C1D1B">
                <v:shape id="_x0000_i1029" type="#_x0000_t75" style="width:71.45pt;height:15.6pt" o:ole="">
                  <v:imagedata r:id="rId17" o:title=""/>
                </v:shape>
                <o:OLEObject Type="Embed" ProgID="Equation.3" ShapeID="_x0000_i1029" DrawAspect="Content" ObjectID="_1682263793" r:id="rId18"/>
              </w:object>
            </w:r>
            <w:r w:rsidRPr="005031AD">
              <w:rPr>
                <w:rFonts w:eastAsia="等线"/>
                <w:szCs w:val="20"/>
                <w:lang w:val="en-GB"/>
              </w:rPr>
              <w:t xml:space="preserve"> time units </w:t>
            </w:r>
            <w:r w:rsidRPr="005031AD">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5031AD">
              <w:rPr>
                <w:rFonts w:eastAsia="等线"/>
                <w:szCs w:val="20"/>
              </w:rPr>
              <w:t xml:space="preserve"> time units for preamble format 2</w:t>
            </w:r>
            <w:r w:rsidRPr="005031AD">
              <w:rPr>
                <w:rFonts w:eastAsia="等线"/>
                <w:szCs w:val="20"/>
                <w:lang w:val="en-GB"/>
              </w:rPr>
              <w:t xml:space="preserve">, a gap of </w:t>
            </w:r>
            <w:r w:rsidRPr="005031AD">
              <w:rPr>
                <w:rFonts w:eastAsia="等线"/>
                <w:position w:val="-10"/>
                <w:szCs w:val="20"/>
                <w:lang w:val="en-GB"/>
              </w:rPr>
              <w:object w:dxaOrig="1040" w:dyaOrig="300" w14:anchorId="23C564E9">
                <v:shape id="_x0000_i1030" type="#_x0000_t75" style="width:50.5pt;height:15.05pt" o:ole="">
                  <v:imagedata r:id="rId19" o:title=""/>
                </v:shape>
                <o:OLEObject Type="Embed" ProgID="Equation.3" ShapeID="_x0000_i1030" DrawAspect="Content" ObjectID="_1682263794" r:id="rId20"/>
              </w:object>
            </w:r>
            <w:r w:rsidRPr="005031AD">
              <w:rPr>
                <w:rFonts w:eastAsia="等线"/>
                <w:szCs w:val="20"/>
                <w:lang w:val="en-GB"/>
              </w:rPr>
              <w:t xml:space="preserve"> time units</w:t>
            </w:r>
            <w:r w:rsidRPr="005031AD" w:rsidDel="00B746D2">
              <w:rPr>
                <w:rFonts w:eastAsia="等线"/>
                <w:szCs w:val="20"/>
                <w:lang w:val="en-GB"/>
              </w:rPr>
              <w:t xml:space="preserve"> </w:t>
            </w:r>
            <w:r w:rsidRPr="005031AD">
              <w:rPr>
                <w:rFonts w:eastAsia="等线"/>
                <w:szCs w:val="20"/>
                <w:lang w:val="en-GB"/>
              </w:rPr>
              <w:t>shall be inserted.</w:t>
            </w:r>
          </w:p>
        </w:tc>
      </w:tr>
    </w:tbl>
    <w:p w14:paraId="427D7EC3" w14:textId="06E6D52C" w:rsidR="00740AB3" w:rsidRDefault="004804F6" w:rsidP="00F159D4">
      <w:pPr>
        <w:rPr>
          <w:lang w:eastAsia="zh-CN"/>
        </w:rPr>
      </w:pPr>
      <w:r w:rsidRPr="004804F6">
        <w:rPr>
          <w:lang w:eastAsia="zh-CN"/>
        </w:rPr>
        <w:t>Considering</w:t>
      </w:r>
      <w:r>
        <w:rPr>
          <w:lang w:eastAsia="zh-CN"/>
        </w:rPr>
        <w:t xml:space="preserve"> the</w:t>
      </w:r>
      <w:r w:rsidRPr="004804F6">
        <w:rPr>
          <w:lang w:eastAsia="zh-CN"/>
        </w:rPr>
        <w:t xml:space="preserve"> large </w:t>
      </w:r>
      <w:r>
        <w:rPr>
          <w:lang w:eastAsia="zh-CN"/>
        </w:rPr>
        <w:t xml:space="preserve">TA of NTN, the </w:t>
      </w:r>
      <w:r w:rsidR="00C5477A">
        <w:rPr>
          <w:lang w:eastAsia="zh-CN"/>
        </w:rPr>
        <w:t>configured transmission gap</w:t>
      </w:r>
      <w:r w:rsidR="00C5477A">
        <w:rPr>
          <w:rFonts w:hint="eastAsia"/>
          <w:lang w:eastAsia="zh-CN"/>
        </w:rPr>
        <w:t xml:space="preserve"> and the actual transmission gap will not be aligned</w:t>
      </w:r>
      <w:r w:rsidR="00C5477A">
        <w:rPr>
          <w:lang w:eastAsia="zh-CN"/>
        </w:rPr>
        <w:t>, a</w:t>
      </w:r>
      <w:r w:rsidR="00C5477A" w:rsidRPr="00C5477A">
        <w:rPr>
          <w:lang w:eastAsia="zh-CN"/>
        </w:rPr>
        <w:t xml:space="preserve">s shown in the figure </w:t>
      </w:r>
      <w:r w:rsidR="00B8788E">
        <w:rPr>
          <w:lang w:eastAsia="zh-CN"/>
        </w:rPr>
        <w:t>1</w:t>
      </w:r>
      <w:r w:rsidR="00C5477A">
        <w:rPr>
          <w:rFonts w:hint="eastAsia"/>
          <w:lang w:eastAsia="zh-CN"/>
        </w:rPr>
        <w:t>.</w:t>
      </w:r>
      <w:r w:rsidR="00C5477A">
        <w:rPr>
          <w:lang w:eastAsia="zh-CN"/>
        </w:rPr>
        <w:t xml:space="preserve"> </w:t>
      </w:r>
      <w:r w:rsidR="00740AB3">
        <w:rPr>
          <w:lang w:eastAsia="zh-CN"/>
        </w:rPr>
        <w:t>Therefore, the length of transmission gap</w:t>
      </w:r>
      <w:r w:rsidR="00740AB3">
        <w:rPr>
          <w:rFonts w:hint="eastAsia"/>
          <w:lang w:eastAsia="zh-CN"/>
        </w:rPr>
        <w:t xml:space="preserve"> in </w:t>
      </w:r>
      <w:r w:rsidR="00740AB3" w:rsidRPr="00740AB3">
        <w:rPr>
          <w:lang w:eastAsia="zh-CN"/>
        </w:rPr>
        <w:t>existing specifications</w:t>
      </w:r>
      <w:r w:rsidR="00740AB3">
        <w:rPr>
          <w:lang w:eastAsia="zh-CN"/>
        </w:rPr>
        <w:t xml:space="preserve"> need to be extended </w:t>
      </w:r>
      <w:r w:rsidR="00740AB3" w:rsidRPr="00740AB3">
        <w:rPr>
          <w:lang w:eastAsia="zh-CN"/>
        </w:rPr>
        <w:t>to ensure that the UE has enough time for frequency synchronization</w:t>
      </w:r>
      <w:r w:rsidR="00740AB3">
        <w:rPr>
          <w:lang w:eastAsia="zh-CN"/>
        </w:rPr>
        <w:t>.</w:t>
      </w:r>
      <w:r w:rsidR="00740AB3">
        <w:rPr>
          <w:rFonts w:hint="eastAsia"/>
          <w:lang w:eastAsia="zh-CN"/>
        </w:rPr>
        <w:t xml:space="preserve"> </w:t>
      </w:r>
    </w:p>
    <w:p w14:paraId="4B378CFF" w14:textId="77777777" w:rsidR="00C5477A" w:rsidRDefault="00C5477A" w:rsidP="00F159D4">
      <w:pPr>
        <w:rPr>
          <w:lang w:eastAsia="zh-CN"/>
        </w:rPr>
      </w:pPr>
    </w:p>
    <w:p w14:paraId="425C67D8" w14:textId="0DABD115" w:rsidR="00F159D4" w:rsidRDefault="00C5477A" w:rsidP="00F159D4">
      <w:pPr>
        <w:rPr>
          <w:lang w:eastAsia="zh-CN"/>
        </w:rPr>
      </w:pPr>
      <w:r>
        <w:rPr>
          <w:noProof/>
          <w:lang w:eastAsia="zh-CN"/>
        </w:rPr>
        <w:drawing>
          <wp:inline distT="0" distB="0" distL="0" distR="0" wp14:anchorId="526E7EA5" wp14:editId="0DBC4F28">
            <wp:extent cx="5851156" cy="15341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87113" cy="1543588"/>
                    </a:xfrm>
                    <a:prstGeom prst="rect">
                      <a:avLst/>
                    </a:prstGeom>
                    <a:noFill/>
                  </pic:spPr>
                </pic:pic>
              </a:graphicData>
            </a:graphic>
          </wp:inline>
        </w:drawing>
      </w:r>
    </w:p>
    <w:p w14:paraId="1954E362" w14:textId="385EA2DF" w:rsidR="00C5477A" w:rsidRPr="00BE32D4" w:rsidRDefault="00740AB3" w:rsidP="00F159D4">
      <w:pPr>
        <w:rPr>
          <w:b/>
          <w:lang w:eastAsia="zh-CN"/>
        </w:rPr>
      </w:pPr>
      <w:r w:rsidRPr="00740AB3">
        <w:rPr>
          <w:rFonts w:hint="eastAsia"/>
          <w:b/>
          <w:lang w:eastAsia="zh-CN"/>
        </w:rPr>
        <w:t xml:space="preserve">Figure </w:t>
      </w:r>
      <w:r w:rsidR="00B8788E">
        <w:rPr>
          <w:b/>
          <w:lang w:eastAsia="zh-CN"/>
        </w:rPr>
        <w:t>1</w:t>
      </w:r>
      <w:r w:rsidRPr="00740AB3">
        <w:rPr>
          <w:rFonts w:hint="eastAsia"/>
          <w:b/>
          <w:lang w:eastAsia="zh-CN"/>
        </w:rPr>
        <w:t xml:space="preserve">: </w:t>
      </w:r>
      <w:r w:rsidRPr="00740AB3">
        <w:rPr>
          <w:b/>
          <w:lang w:eastAsia="zh-CN"/>
        </w:rPr>
        <w:t>Illustration of the misalignment of</w:t>
      </w:r>
      <w:r w:rsidRPr="00740AB3">
        <w:rPr>
          <w:b/>
        </w:rPr>
        <w:t xml:space="preserve"> </w:t>
      </w:r>
      <w:r w:rsidRPr="00740AB3">
        <w:rPr>
          <w:b/>
          <w:lang w:eastAsia="zh-CN"/>
        </w:rPr>
        <w:t>the configured transmission gap and the actual transmission gap.</w:t>
      </w:r>
    </w:p>
    <w:p w14:paraId="0C984B67" w14:textId="67A9C490" w:rsidR="00B8788E" w:rsidRDefault="00B8788E" w:rsidP="00F159D4">
      <w:pPr>
        <w:rPr>
          <w:b/>
          <w:i/>
          <w:lang w:eastAsia="zh-CN"/>
        </w:rPr>
      </w:pPr>
      <w:bookmarkStart w:id="2" w:name="OLE_LINK7"/>
      <w:bookmarkStart w:id="3" w:name="OLE_LINK8"/>
      <w:r w:rsidRPr="00B8788E">
        <w:rPr>
          <w:rFonts w:hint="eastAsia"/>
          <w:b/>
          <w:i/>
          <w:lang w:eastAsia="zh-CN"/>
        </w:rPr>
        <w:t xml:space="preserve">Proposal </w:t>
      </w:r>
      <w:r w:rsidR="00C14BDF">
        <w:rPr>
          <w:b/>
          <w:i/>
          <w:lang w:eastAsia="zh-CN"/>
        </w:rPr>
        <w:t>2</w:t>
      </w:r>
      <w:r w:rsidRPr="00B8788E">
        <w:rPr>
          <w:rFonts w:hint="eastAsia"/>
          <w:b/>
          <w:i/>
          <w:lang w:eastAsia="zh-CN"/>
        </w:rPr>
        <w:t xml:space="preserve">: </w:t>
      </w:r>
      <w:r w:rsidR="000655C3" w:rsidRPr="000655C3">
        <w:rPr>
          <w:b/>
          <w:i/>
          <w:lang w:eastAsia="zh-CN"/>
        </w:rPr>
        <w:t>Enhancement on the UL transm</w:t>
      </w:r>
      <w:r w:rsidR="000655C3">
        <w:rPr>
          <w:b/>
          <w:i/>
          <w:lang w:eastAsia="zh-CN"/>
        </w:rPr>
        <w:t>ission gap in IoT NTN is needed</w:t>
      </w:r>
      <w:r w:rsidRPr="00B8788E">
        <w:rPr>
          <w:b/>
          <w:i/>
          <w:lang w:eastAsia="zh-CN"/>
        </w:rPr>
        <w:t>.</w:t>
      </w:r>
    </w:p>
    <w:bookmarkEnd w:id="2"/>
    <w:bookmarkEnd w:id="3"/>
    <w:p w14:paraId="57F9CE58" w14:textId="77777777" w:rsidR="00B8788E" w:rsidRPr="00B8788E" w:rsidRDefault="00B8788E" w:rsidP="00F159D4">
      <w:pPr>
        <w:rPr>
          <w:b/>
          <w:i/>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40BD9F58" w14:textId="77777777" w:rsidR="001A1648" w:rsidRDefault="001A1648" w:rsidP="00B3553A">
      <w:pPr>
        <w:autoSpaceDE/>
        <w:autoSpaceDN/>
        <w:adjustRightInd/>
        <w:snapToGrid/>
        <w:spacing w:after="0"/>
        <w:jc w:val="left"/>
        <w:rPr>
          <w:b/>
          <w:i/>
          <w:szCs w:val="20"/>
          <w:lang w:eastAsia="zh-CN"/>
        </w:rPr>
      </w:pPr>
      <w:r w:rsidRPr="001A1648">
        <w:rPr>
          <w:b/>
          <w:i/>
          <w:szCs w:val="20"/>
          <w:lang w:eastAsia="zh-CN"/>
        </w:rPr>
        <w:t xml:space="preserve">Proposal 1: PDCCH monitoring restrictions need to be enhanced. </w:t>
      </w:r>
    </w:p>
    <w:p w14:paraId="2653B16B" w14:textId="0097CF5F" w:rsidR="00AB4BBE" w:rsidRDefault="001A1648" w:rsidP="00B3553A">
      <w:pPr>
        <w:autoSpaceDE/>
        <w:autoSpaceDN/>
        <w:adjustRightInd/>
        <w:snapToGrid/>
        <w:spacing w:after="0"/>
        <w:jc w:val="left"/>
        <w:rPr>
          <w:b/>
          <w:i/>
          <w:szCs w:val="20"/>
          <w:lang w:eastAsia="zh-CN"/>
        </w:rPr>
      </w:pPr>
      <w:r w:rsidRPr="001A1648">
        <w:rPr>
          <w:b/>
          <w:i/>
          <w:szCs w:val="20"/>
          <w:lang w:eastAsia="zh-CN"/>
        </w:rPr>
        <w:t>Proposal 2: Enhancement on the UL transmission gap in IoT NTN is needed.</w:t>
      </w:r>
    </w:p>
    <w:p w14:paraId="5AFB20BD" w14:textId="77777777" w:rsidR="001A1648" w:rsidRPr="004D275E" w:rsidRDefault="001A1648"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59ED35F7" w14:textId="144E2DB9" w:rsidR="00302D3A" w:rsidRPr="00E20851" w:rsidRDefault="001252BC" w:rsidP="001252BC">
      <w:pPr>
        <w:pStyle w:val="References"/>
        <w:rPr>
          <w:sz w:val="22"/>
          <w:szCs w:val="22"/>
          <w:lang w:eastAsia="zh-CN"/>
        </w:rPr>
      </w:pPr>
      <w:bookmarkStart w:id="4" w:name="_Ref51937982"/>
      <w:bookmarkStart w:id="5" w:name="_Ref30583942"/>
      <w:bookmarkEnd w:id="0"/>
      <w:r w:rsidRPr="001252BC">
        <w:rPr>
          <w:sz w:val="22"/>
          <w:szCs w:val="22"/>
          <w:lang w:eastAsia="zh-CN"/>
        </w:rPr>
        <w:t>RP-210868</w:t>
      </w:r>
      <w:r w:rsidR="00302D3A" w:rsidRPr="00E20851">
        <w:rPr>
          <w:sz w:val="22"/>
          <w:szCs w:val="22"/>
          <w:lang w:eastAsia="zh-CN"/>
        </w:rPr>
        <w:t>, “</w:t>
      </w:r>
      <w:r w:rsidRPr="00E20851">
        <w:rPr>
          <w:sz w:val="22"/>
          <w:szCs w:val="22"/>
          <w:lang w:eastAsia="zh-CN"/>
        </w:rPr>
        <w:t>Study on NB-IoT/eMTC support for Non-Terrestrial Networks</w:t>
      </w:r>
      <w:r w:rsidR="00302D3A" w:rsidRPr="00E20851">
        <w:rPr>
          <w:sz w:val="22"/>
          <w:szCs w:val="22"/>
          <w:lang w:eastAsia="zh-CN"/>
        </w:rPr>
        <w:t>”, MediaTek Inc.</w:t>
      </w:r>
      <w:bookmarkEnd w:id="4"/>
      <w:r w:rsidR="00302D3A" w:rsidRPr="00E20851">
        <w:rPr>
          <w:sz w:val="22"/>
          <w:szCs w:val="22"/>
          <w:lang w:eastAsia="zh-CN"/>
        </w:rPr>
        <w:t xml:space="preserve"> </w:t>
      </w:r>
      <w:bookmarkEnd w:id="5"/>
    </w:p>
    <w:p w14:paraId="6DA19272" w14:textId="5ED8D1DD" w:rsidR="004567BD" w:rsidRPr="004567BD" w:rsidRDefault="004567BD" w:rsidP="004567BD">
      <w:pPr>
        <w:pStyle w:val="References"/>
        <w:rPr>
          <w:sz w:val="22"/>
          <w:szCs w:val="22"/>
          <w:lang w:eastAsia="zh-CN"/>
        </w:rPr>
      </w:pPr>
      <w:bookmarkStart w:id="6" w:name="OLE_LINK13"/>
      <w:bookmarkStart w:id="7" w:name="OLE_LINK14"/>
      <w:r w:rsidRPr="004567BD">
        <w:rPr>
          <w:sz w:val="22"/>
          <w:szCs w:val="22"/>
          <w:lang w:eastAsia="zh-CN"/>
        </w:rPr>
        <w:t>3GPP RAN1#104</w:t>
      </w:r>
      <w:r w:rsidR="00CD68D7">
        <w:rPr>
          <w:sz w:val="22"/>
          <w:szCs w:val="22"/>
          <w:lang w:eastAsia="zh-CN"/>
        </w:rPr>
        <w:t>b_</w:t>
      </w:r>
      <w:r w:rsidRPr="004567BD">
        <w:rPr>
          <w:sz w:val="22"/>
          <w:szCs w:val="22"/>
          <w:lang w:eastAsia="zh-CN"/>
        </w:rPr>
        <w:t>e Chairman’s Notes, April 12 - April 20, 2021.</w:t>
      </w:r>
    </w:p>
    <w:bookmarkEnd w:id="6"/>
    <w:bookmarkEnd w:id="7"/>
    <w:p w14:paraId="6D7A18B2" w14:textId="718C16BE" w:rsidR="004567BD" w:rsidRPr="00B6666F" w:rsidRDefault="004567BD" w:rsidP="00B6666F">
      <w:pPr>
        <w:pStyle w:val="References"/>
        <w:numPr>
          <w:ilvl w:val="0"/>
          <w:numId w:val="0"/>
        </w:numPr>
        <w:ind w:left="360"/>
        <w:rPr>
          <w:sz w:val="22"/>
          <w:szCs w:val="22"/>
          <w:highlight w:val="yellow"/>
          <w:lang w:eastAsia="zh-CN"/>
        </w:rPr>
      </w:pPr>
    </w:p>
    <w:sectPr w:rsidR="004567BD" w:rsidRPr="00B666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62DA1" w14:textId="77777777" w:rsidR="008E0216" w:rsidRDefault="008E0216" w:rsidP="00921B36">
      <w:pPr>
        <w:spacing w:after="0"/>
      </w:pPr>
      <w:r>
        <w:separator/>
      </w:r>
    </w:p>
  </w:endnote>
  <w:endnote w:type="continuationSeparator" w:id="0">
    <w:p w14:paraId="081BD6E1" w14:textId="77777777" w:rsidR="008E0216" w:rsidRDefault="008E021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D90F1" w14:textId="77777777" w:rsidR="008E0216" w:rsidRDefault="008E0216" w:rsidP="00921B36">
      <w:pPr>
        <w:spacing w:after="0"/>
      </w:pPr>
      <w:r>
        <w:separator/>
      </w:r>
    </w:p>
  </w:footnote>
  <w:footnote w:type="continuationSeparator" w:id="0">
    <w:p w14:paraId="29947B2F" w14:textId="77777777" w:rsidR="008E0216" w:rsidRDefault="008E0216"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7"/>
  </w:num>
  <w:num w:numId="3">
    <w:abstractNumId w:val="0"/>
  </w:num>
  <w:num w:numId="4">
    <w:abstractNumId w:val="18"/>
  </w:num>
  <w:num w:numId="5">
    <w:abstractNumId w:val="41"/>
  </w:num>
  <w:num w:numId="6">
    <w:abstractNumId w:val="38"/>
  </w:num>
  <w:num w:numId="7">
    <w:abstractNumId w:val="20"/>
  </w:num>
  <w:num w:numId="8">
    <w:abstractNumId w:val="39"/>
  </w:num>
  <w:num w:numId="9">
    <w:abstractNumId w:val="5"/>
  </w:num>
  <w:num w:numId="10">
    <w:abstractNumId w:val="21"/>
  </w:num>
  <w:num w:numId="11">
    <w:abstractNumId w:val="24"/>
  </w:num>
  <w:num w:numId="12">
    <w:abstractNumId w:val="42"/>
  </w:num>
  <w:num w:numId="13">
    <w:abstractNumId w:val="25"/>
  </w:num>
  <w:num w:numId="14">
    <w:abstractNumId w:val="40"/>
  </w:num>
  <w:num w:numId="15">
    <w:abstractNumId w:val="19"/>
  </w:num>
  <w:num w:numId="16">
    <w:abstractNumId w:val="33"/>
  </w:num>
  <w:num w:numId="17">
    <w:abstractNumId w:val="22"/>
  </w:num>
  <w:num w:numId="18">
    <w:abstractNumId w:val="14"/>
  </w:num>
  <w:num w:numId="19">
    <w:abstractNumId w:val="1"/>
  </w:num>
  <w:num w:numId="20">
    <w:abstractNumId w:val="3"/>
  </w:num>
  <w:num w:numId="21">
    <w:abstractNumId w:val="27"/>
  </w:num>
  <w:num w:numId="22">
    <w:abstractNumId w:val="28"/>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6"/>
  </w:num>
  <w:num w:numId="30">
    <w:abstractNumId w:val="2"/>
  </w:num>
  <w:num w:numId="31">
    <w:abstractNumId w:val="11"/>
  </w:num>
  <w:num w:numId="32">
    <w:abstractNumId w:val="10"/>
  </w:num>
  <w:num w:numId="33">
    <w:abstractNumId w:val="7"/>
  </w:num>
  <w:num w:numId="34">
    <w:abstractNumId w:val="29"/>
  </w:num>
  <w:num w:numId="35">
    <w:abstractNumId w:val="36"/>
  </w:num>
  <w:num w:numId="36">
    <w:abstractNumId w:val="9"/>
  </w:num>
  <w:num w:numId="37">
    <w:abstractNumId w:val="4"/>
  </w:num>
  <w:num w:numId="38">
    <w:abstractNumId w:val="12"/>
  </w:num>
  <w:num w:numId="39">
    <w:abstractNumId w:val="23"/>
  </w:num>
  <w:num w:numId="40">
    <w:abstractNumId w:val="30"/>
  </w:num>
  <w:num w:numId="41">
    <w:abstractNumId w:val="32"/>
  </w:num>
  <w:num w:numId="42">
    <w:abstractNumId w:val="29"/>
  </w:num>
  <w:num w:numId="43">
    <w:abstractNumId w:val="31"/>
  </w:num>
  <w:num w:numId="44">
    <w:abstractNumId w:val="29"/>
  </w:num>
  <w:num w:numId="45">
    <w:abstractNumId w:val="34"/>
  </w:num>
  <w:num w:numId="46">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67D"/>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829"/>
    <w:rsid w:val="00063CBC"/>
    <w:rsid w:val="00064C15"/>
    <w:rsid w:val="00064CB9"/>
    <w:rsid w:val="00064EE1"/>
    <w:rsid w:val="000654CE"/>
    <w:rsid w:val="000655C3"/>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12C"/>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CB7"/>
    <w:rsid w:val="000F1D05"/>
    <w:rsid w:val="000F1E8E"/>
    <w:rsid w:val="000F1F2C"/>
    <w:rsid w:val="000F205C"/>
    <w:rsid w:val="000F24EC"/>
    <w:rsid w:val="000F255F"/>
    <w:rsid w:val="000F2A4D"/>
    <w:rsid w:val="000F2B18"/>
    <w:rsid w:val="000F2EEE"/>
    <w:rsid w:val="000F34B3"/>
    <w:rsid w:val="000F3697"/>
    <w:rsid w:val="000F3D25"/>
    <w:rsid w:val="000F4217"/>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2BC"/>
    <w:rsid w:val="00125589"/>
    <w:rsid w:val="00125733"/>
    <w:rsid w:val="001259EE"/>
    <w:rsid w:val="00125AD8"/>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52C"/>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41C"/>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BE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5A8"/>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1F"/>
    <w:rsid w:val="001A1445"/>
    <w:rsid w:val="001A1648"/>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4E"/>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8CA"/>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1D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1BD"/>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35B"/>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0DFC"/>
    <w:rsid w:val="003E1328"/>
    <w:rsid w:val="003E14FC"/>
    <w:rsid w:val="003E245A"/>
    <w:rsid w:val="003E2633"/>
    <w:rsid w:val="003E28A1"/>
    <w:rsid w:val="003E2976"/>
    <w:rsid w:val="003E29F2"/>
    <w:rsid w:val="003E2D35"/>
    <w:rsid w:val="003E2D6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795"/>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7BD"/>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C8F"/>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B52"/>
    <w:rsid w:val="00477C35"/>
    <w:rsid w:val="00477E9F"/>
    <w:rsid w:val="00477F4A"/>
    <w:rsid w:val="00480429"/>
    <w:rsid w:val="004804F6"/>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7F"/>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0F06"/>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1AD"/>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6E4"/>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411"/>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5"/>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CE3"/>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2AEB"/>
    <w:rsid w:val="005E3588"/>
    <w:rsid w:val="005E35CC"/>
    <w:rsid w:val="005E371E"/>
    <w:rsid w:val="005E37D4"/>
    <w:rsid w:val="005E3A98"/>
    <w:rsid w:val="005E427A"/>
    <w:rsid w:val="005E43D3"/>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30D"/>
    <w:rsid w:val="0069186F"/>
    <w:rsid w:val="006918BF"/>
    <w:rsid w:val="006919DC"/>
    <w:rsid w:val="00691B0B"/>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1"/>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AB3"/>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613"/>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75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B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1DB5"/>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A0E"/>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601"/>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751"/>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216"/>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1EB"/>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198B"/>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95D"/>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A8"/>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37C"/>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0CE8"/>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50F"/>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5D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66F"/>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88E"/>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D4"/>
    <w:rsid w:val="00BE14ED"/>
    <w:rsid w:val="00BE1783"/>
    <w:rsid w:val="00BE18F5"/>
    <w:rsid w:val="00BE1D82"/>
    <w:rsid w:val="00BE1EE4"/>
    <w:rsid w:val="00BE1F8B"/>
    <w:rsid w:val="00BE2567"/>
    <w:rsid w:val="00BE2726"/>
    <w:rsid w:val="00BE2769"/>
    <w:rsid w:val="00BE2B4F"/>
    <w:rsid w:val="00BE2F35"/>
    <w:rsid w:val="00BE2F39"/>
    <w:rsid w:val="00BE32D4"/>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BDF"/>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77A"/>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4B85"/>
    <w:rsid w:val="00C654E0"/>
    <w:rsid w:val="00C65589"/>
    <w:rsid w:val="00C656E6"/>
    <w:rsid w:val="00C65B4D"/>
    <w:rsid w:val="00C65BA8"/>
    <w:rsid w:val="00C65BDC"/>
    <w:rsid w:val="00C65D3D"/>
    <w:rsid w:val="00C65E5A"/>
    <w:rsid w:val="00C66332"/>
    <w:rsid w:val="00C6640C"/>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05F"/>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D1E"/>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8D7"/>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06B"/>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695"/>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0AD1"/>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57CE7"/>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250"/>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231"/>
    <w:rsid w:val="00D754D6"/>
    <w:rsid w:val="00D755EB"/>
    <w:rsid w:val="00D761AA"/>
    <w:rsid w:val="00D765C0"/>
    <w:rsid w:val="00D76685"/>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B76"/>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01B"/>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851"/>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837"/>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75E"/>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B9C"/>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28F"/>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D4"/>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1D"/>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96"/>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3E58"/>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C1B9E-2589-4950-80B0-CBCB6943A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268</cp:revision>
  <cp:lastPrinted>2015-03-27T14:25:00Z</cp:lastPrinted>
  <dcterms:created xsi:type="dcterms:W3CDTF">2020-08-07T05:21:00Z</dcterms:created>
  <dcterms:modified xsi:type="dcterms:W3CDTF">2021-05-11T10:43:00Z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